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F7" w:rsidRDefault="00EF3358" w:rsidP="00EF3358">
      <w:pPr>
        <w:spacing w:line="360" w:lineRule="auto"/>
        <w:rPr>
          <w:rFonts w:ascii="Times New Roman" w:hAnsi="Times New Roman"/>
          <w:color w:val="D6009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D60093"/>
          <w:sz w:val="24"/>
          <w:szCs w:val="24"/>
          <w:lang w:val="ro-RO" w:eastAsia="ro-RO"/>
        </w:rPr>
        <w:drawing>
          <wp:inline distT="0" distB="0" distL="0" distR="0" wp14:anchorId="6E9AF3C2" wp14:editId="49865B7A">
            <wp:extent cx="594360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5F7">
        <w:rPr>
          <w:rFonts w:ascii="Times New Roman" w:hAnsi="Times New Roman"/>
          <w:color w:val="D60093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color w:val="D60093"/>
          <w:sz w:val="24"/>
          <w:szCs w:val="24"/>
        </w:rPr>
        <w:t xml:space="preserve">                                                                                          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D60093"/>
          <w:sz w:val="24"/>
          <w:szCs w:val="24"/>
        </w:rPr>
        <w:t xml:space="preserve">                                                                                                                 </w:t>
      </w:r>
      <w:r w:rsidRPr="004B65F7">
        <w:rPr>
          <w:rFonts w:ascii="Times New Roman" w:hAnsi="Times New Roman"/>
          <w:b/>
          <w:sz w:val="24"/>
          <w:szCs w:val="24"/>
        </w:rPr>
        <w:t>840/7 APRILIE 2016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Catre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Bursa de </w:t>
      </w:r>
      <w:proofErr w:type="spellStart"/>
      <w:r>
        <w:rPr>
          <w:rFonts w:ascii="Times New Roman" w:hAnsi="Times New Roman"/>
          <w:b/>
          <w:sz w:val="24"/>
          <w:szCs w:val="24"/>
        </w:rPr>
        <w:t>Valori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Autoritatea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Supraveghere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Financiara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Sectorul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Instrumentelor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Investitiilor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Financiare</w:t>
      </w:r>
      <w:proofErr w:type="spellEnd"/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RAPORT CURENT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Conform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CNVM nr.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1/2006, </w:t>
      </w:r>
      <w:proofErr w:type="spellStart"/>
      <w:r>
        <w:rPr>
          <w:rFonts w:ascii="Times New Roman" w:hAnsi="Times New Roman"/>
          <w:b/>
          <w:sz w:val="24"/>
          <w:szCs w:val="24"/>
        </w:rPr>
        <w:t>modificat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Regulamentul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CNVM nr.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31/</w:t>
      </w:r>
      <w:proofErr w:type="gramStart"/>
      <w:r>
        <w:rPr>
          <w:rFonts w:ascii="Times New Roman" w:hAnsi="Times New Roman"/>
          <w:b/>
          <w:sz w:val="24"/>
          <w:szCs w:val="24"/>
        </w:rPr>
        <w:t>2006 ;</w:t>
      </w:r>
      <w:proofErr w:type="gramEnd"/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b/>
          <w:sz w:val="24"/>
          <w:szCs w:val="24"/>
        </w:rPr>
        <w:t>raportului</w:t>
      </w:r>
      <w:proofErr w:type="spellEnd"/>
      <w:r>
        <w:rPr>
          <w:rFonts w:ascii="Times New Roman" w:hAnsi="Times New Roman"/>
          <w:b/>
          <w:sz w:val="24"/>
          <w:szCs w:val="24"/>
        </w:rPr>
        <w:t>: 7 APRILIE 2016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Denumirea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societatii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emitente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ANTECO S.A.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Sediul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social: </w:t>
      </w:r>
      <w:proofErr w:type="spellStart"/>
      <w:r>
        <w:rPr>
          <w:rFonts w:ascii="Times New Roman" w:hAnsi="Times New Roman"/>
          <w:b/>
          <w:sz w:val="24"/>
          <w:szCs w:val="24"/>
        </w:rPr>
        <w:t>municipiul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Ploiesti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str. </w:t>
      </w:r>
      <w:proofErr w:type="spellStart"/>
      <w:r>
        <w:rPr>
          <w:rFonts w:ascii="Times New Roman" w:hAnsi="Times New Roman"/>
          <w:b/>
          <w:sz w:val="24"/>
          <w:szCs w:val="24"/>
        </w:rPr>
        <w:t>Lamiitei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nr. </w:t>
      </w:r>
      <w:proofErr w:type="gramStart"/>
      <w:r>
        <w:rPr>
          <w:rFonts w:ascii="Times New Roman" w:hAnsi="Times New Roman"/>
          <w:b/>
          <w:sz w:val="24"/>
          <w:szCs w:val="24"/>
        </w:rPr>
        <w:t>2 ,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Judetul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Prahova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Numar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r>
        <w:rPr>
          <w:rFonts w:ascii="Times New Roman" w:hAnsi="Times New Roman"/>
          <w:b/>
          <w:sz w:val="24"/>
          <w:szCs w:val="24"/>
        </w:rPr>
        <w:t>: 0244/543088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Numar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fax: 0244/516571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Numar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inregistrare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ORC: J29/96/01.03.1991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Cod </w:t>
      </w:r>
      <w:proofErr w:type="spellStart"/>
      <w:r>
        <w:rPr>
          <w:rFonts w:ascii="Times New Roman" w:hAnsi="Times New Roman"/>
          <w:b/>
          <w:sz w:val="24"/>
          <w:szCs w:val="24"/>
        </w:rPr>
        <w:t>unic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inregistrare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1351808 / ATRIBUT FISCAL RO 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Capital social </w:t>
      </w:r>
      <w:proofErr w:type="spellStart"/>
      <w:r>
        <w:rPr>
          <w:rFonts w:ascii="Times New Roman" w:hAnsi="Times New Roman"/>
          <w:b/>
          <w:sz w:val="24"/>
          <w:szCs w:val="24"/>
        </w:rPr>
        <w:t>subscris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varsat</w:t>
      </w:r>
      <w:proofErr w:type="spellEnd"/>
      <w:r>
        <w:rPr>
          <w:rFonts w:ascii="Times New Roman" w:hAnsi="Times New Roman"/>
          <w:b/>
          <w:sz w:val="24"/>
          <w:szCs w:val="24"/>
        </w:rPr>
        <w:t>: 4.093.445</w:t>
      </w:r>
      <w:proofErr w:type="gramStart"/>
      <w:r>
        <w:rPr>
          <w:rFonts w:ascii="Times New Roman" w:hAnsi="Times New Roman"/>
          <w:b/>
          <w:sz w:val="24"/>
          <w:szCs w:val="24"/>
        </w:rPr>
        <w:t>,9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lei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Piata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reglementata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b/>
          <w:sz w:val="24"/>
          <w:szCs w:val="24"/>
        </w:rPr>
        <w:t>tranzactioneaza</w:t>
      </w:r>
      <w:proofErr w:type="spellEnd"/>
      <w:r>
        <w:rPr>
          <w:rFonts w:ascii="Times New Roman" w:hAnsi="Times New Roman"/>
          <w:b/>
          <w:sz w:val="24"/>
          <w:szCs w:val="24"/>
        </w:rPr>
        <w:t>: B.V.B. - AERO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Evenimente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importante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raportat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b/>
          <w:sz w:val="24"/>
          <w:szCs w:val="24"/>
        </w:rPr>
        <w:t>Schimbari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</w:rPr>
        <w:t>controlul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asupra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societatii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nu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cazul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b/>
          <w:sz w:val="24"/>
          <w:szCs w:val="24"/>
        </w:rPr>
        <w:t>Achizitii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instrainari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substantiale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active – nu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cazul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46EA" w:rsidRDefault="002546EA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ro-RO" w:eastAsia="ro-RO"/>
        </w:rPr>
        <w:lastRenderedPageBreak/>
        <w:drawing>
          <wp:inline distT="0" distB="0" distL="0" distR="0" wp14:anchorId="4F621945" wp14:editId="01705558">
            <wp:extent cx="5760720" cy="771270"/>
            <wp:effectExtent l="0" t="0" r="0" b="0"/>
            <wp:docPr id="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b/>
          <w:sz w:val="24"/>
          <w:szCs w:val="24"/>
        </w:rPr>
        <w:t>Procedura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falimentului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nu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cazul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65F7" w:rsidRDefault="004B65F7" w:rsidP="004B65F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b/>
          <w:sz w:val="24"/>
          <w:szCs w:val="24"/>
        </w:rPr>
        <w:t>Tranzactii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tipul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enumerate la art. 225 din </w:t>
      </w:r>
      <w:proofErr w:type="spellStart"/>
      <w:r>
        <w:rPr>
          <w:rFonts w:ascii="Times New Roman" w:hAnsi="Times New Roman"/>
          <w:b/>
          <w:sz w:val="24"/>
          <w:szCs w:val="24"/>
        </w:rPr>
        <w:t>Legea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297/2006 – nu </w:t>
      </w:r>
      <w:proofErr w:type="spellStart"/>
      <w:r>
        <w:rPr>
          <w:rFonts w:ascii="Times New Roman" w:hAnsi="Times New Roman"/>
          <w:b/>
          <w:sz w:val="24"/>
          <w:szCs w:val="24"/>
        </w:rPr>
        <w:t>este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cazul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e) </w:t>
      </w:r>
      <w:proofErr w:type="spellStart"/>
      <w:r>
        <w:rPr>
          <w:rFonts w:ascii="Times New Roman" w:hAnsi="Times New Roman"/>
          <w:b/>
          <w:sz w:val="24"/>
          <w:szCs w:val="24"/>
        </w:rPr>
        <w:t>Alte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evenimente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F3358" w:rsidRDefault="004B65F7" w:rsidP="00EF335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EF3358">
        <w:rPr>
          <w:rFonts w:ascii="Times New Roman" w:hAnsi="Times New Roman"/>
          <w:b/>
          <w:sz w:val="24"/>
          <w:szCs w:val="24"/>
        </w:rPr>
        <w:t xml:space="preserve">839 / 7 APRILIE 2016   </w:t>
      </w:r>
      <w:r w:rsidR="00EF3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CONVOCAREA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Adunarii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Generale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Ordinare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Actionarilor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S. ANTECO  S.A. Ploiesti  in  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data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9/10 MAI 2016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Administratie</w:t>
      </w:r>
      <w:proofErr w:type="spellEnd"/>
      <w:r>
        <w:rPr>
          <w:rFonts w:ascii="Times New Roman" w:hAnsi="Times New Roman"/>
          <w:sz w:val="24"/>
          <w:szCs w:val="24"/>
        </w:rPr>
        <w:t xml:space="preserve"> al S. ANTECO S.A.</w:t>
      </w:r>
      <w:proofErr w:type="gramEnd"/>
      <w:r>
        <w:rPr>
          <w:rFonts w:ascii="Times New Roman" w:hAnsi="Times New Roman"/>
          <w:sz w:val="24"/>
          <w:szCs w:val="24"/>
        </w:rPr>
        <w:t xml:space="preserve">  , </w:t>
      </w:r>
      <w:proofErr w:type="spellStart"/>
      <w:r>
        <w:rPr>
          <w:rFonts w:ascii="Times New Roman" w:hAnsi="Times New Roman"/>
          <w:sz w:val="24"/>
          <w:szCs w:val="24"/>
        </w:rPr>
        <w:t>avand</w:t>
      </w:r>
      <w:proofErr w:type="spellEnd"/>
      <w:r>
        <w:rPr>
          <w:rFonts w:ascii="Times New Roman" w:hAnsi="Times New Roman"/>
          <w:sz w:val="24"/>
          <w:szCs w:val="24"/>
        </w:rPr>
        <w:t xml:space="preserve"> cod </w:t>
      </w:r>
      <w:proofErr w:type="spellStart"/>
      <w:r>
        <w:rPr>
          <w:rFonts w:ascii="Times New Roman" w:hAnsi="Times New Roman"/>
          <w:sz w:val="24"/>
          <w:szCs w:val="24"/>
        </w:rPr>
        <w:t>unic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/>
          <w:sz w:val="24"/>
          <w:szCs w:val="24"/>
        </w:rPr>
        <w:t xml:space="preserve"> 1351808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numar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ordine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comertului</w:t>
      </w:r>
      <w:proofErr w:type="spellEnd"/>
      <w:r>
        <w:rPr>
          <w:rFonts w:ascii="Times New Roman" w:hAnsi="Times New Roman"/>
          <w:sz w:val="24"/>
          <w:szCs w:val="24"/>
        </w:rPr>
        <w:t xml:space="preserve"> J29/96/01.03.1991, capital social 4.093.445,90  lei integral </w:t>
      </w:r>
      <w:proofErr w:type="spellStart"/>
      <w:r>
        <w:rPr>
          <w:rFonts w:ascii="Times New Roman" w:hAnsi="Times New Roman"/>
          <w:sz w:val="24"/>
          <w:szCs w:val="24"/>
        </w:rPr>
        <w:t>subscris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varsat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dispozitiile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Constitutiv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, 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31/1990 </w:t>
      </w:r>
      <w:proofErr w:type="gramStart"/>
      <w:r>
        <w:rPr>
          <w:rFonts w:ascii="Times New Roman" w:hAnsi="Times New Roman"/>
          <w:sz w:val="24"/>
          <w:szCs w:val="24"/>
        </w:rPr>
        <w:t>®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247/</w:t>
      </w:r>
      <w:proofErr w:type="gramStart"/>
      <w:r>
        <w:rPr>
          <w:rFonts w:ascii="Times New Roman" w:hAnsi="Times New Roman"/>
          <w:sz w:val="24"/>
          <w:szCs w:val="24"/>
        </w:rPr>
        <w:t>2004 ,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1/2006 al C.N.V.M</w:t>
      </w:r>
      <w:proofErr w:type="gramStart"/>
      <w:r>
        <w:rPr>
          <w:rFonts w:ascii="Times New Roman" w:hAnsi="Times New Roman"/>
          <w:sz w:val="24"/>
          <w:szCs w:val="24"/>
        </w:rPr>
        <w:t>. ,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 6/2009 al C.N.V.M</w:t>
      </w:r>
      <w:proofErr w:type="gramStart"/>
      <w:r>
        <w:rPr>
          <w:rFonts w:ascii="Times New Roman" w:hAnsi="Times New Roman"/>
          <w:sz w:val="24"/>
          <w:szCs w:val="24"/>
        </w:rPr>
        <w:t>.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proofErr w:type="gramStart"/>
      <w:r>
        <w:rPr>
          <w:rFonts w:ascii="Times New Roman" w:hAnsi="Times New Roman"/>
          <w:sz w:val="24"/>
          <w:szCs w:val="24"/>
        </w:rPr>
        <w:t xml:space="preserve">151/2014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A.S.F. nr.</w:t>
      </w:r>
      <w:proofErr w:type="gramEnd"/>
      <w:r>
        <w:rPr>
          <w:rFonts w:ascii="Times New Roman" w:hAnsi="Times New Roman"/>
          <w:sz w:val="24"/>
          <w:szCs w:val="24"/>
        </w:rPr>
        <w:t xml:space="preserve"> 17/</w:t>
      </w:r>
      <w:proofErr w:type="gramStart"/>
      <w:r>
        <w:rPr>
          <w:rFonts w:ascii="Times New Roman" w:hAnsi="Times New Roman"/>
          <w:sz w:val="24"/>
          <w:szCs w:val="24"/>
        </w:rPr>
        <w:t>28.11.2014 ,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 A.S.F. nr. 3/</w:t>
      </w:r>
      <w:proofErr w:type="gramStart"/>
      <w:r>
        <w:rPr>
          <w:rFonts w:ascii="Times New Roman" w:hAnsi="Times New Roman"/>
          <w:sz w:val="24"/>
          <w:szCs w:val="24"/>
        </w:rPr>
        <w:t>2015 :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CONVOACA 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Ploiesti , str. </w:t>
      </w:r>
      <w:proofErr w:type="spellStart"/>
      <w:r>
        <w:rPr>
          <w:rFonts w:ascii="Times New Roman" w:hAnsi="Times New Roman"/>
          <w:sz w:val="24"/>
          <w:szCs w:val="24"/>
        </w:rPr>
        <w:t>Lamiitei</w:t>
      </w:r>
      <w:proofErr w:type="spellEnd"/>
      <w:r>
        <w:rPr>
          <w:rFonts w:ascii="Times New Roman" w:hAnsi="Times New Roman"/>
          <w:sz w:val="24"/>
          <w:szCs w:val="24"/>
        </w:rPr>
        <w:t xml:space="preserve"> , nr.2 ,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Prahova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codpostal</w:t>
      </w:r>
      <w:proofErr w:type="spellEnd"/>
      <w:r>
        <w:rPr>
          <w:rFonts w:ascii="Times New Roman" w:hAnsi="Times New Roman"/>
          <w:sz w:val="24"/>
          <w:szCs w:val="24"/>
        </w:rPr>
        <w:t xml:space="preserve"> 100185 , </w:t>
      </w:r>
      <w:proofErr w:type="spellStart"/>
      <w:r>
        <w:rPr>
          <w:rFonts w:ascii="Times New Roman" w:hAnsi="Times New Roman"/>
          <w:b/>
          <w:sz w:val="24"/>
          <w:szCs w:val="24"/>
        </w:rPr>
        <w:t>Adunarea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Generala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Ordinara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Actionarilor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 la data de  9 MAI 2016  </w:t>
      </w:r>
      <w:proofErr w:type="spellStart"/>
      <w:r>
        <w:rPr>
          <w:rFonts w:ascii="Times New Roman" w:hAnsi="Times New Roman"/>
          <w:sz w:val="24"/>
          <w:szCs w:val="24"/>
        </w:rPr>
        <w:t>ora</w:t>
      </w:r>
      <w:proofErr w:type="spellEnd"/>
      <w:r>
        <w:rPr>
          <w:rFonts w:ascii="Times New Roman" w:hAnsi="Times New Roman"/>
          <w:sz w:val="24"/>
          <w:szCs w:val="24"/>
        </w:rPr>
        <w:t xml:space="preserve"> 10.00 . </w:t>
      </w:r>
      <w:r>
        <w:rPr>
          <w:rFonts w:ascii="Times New Roman" w:hAnsi="Times New Roman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care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nu se va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tine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datorita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neindeplinirii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cvorumului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doua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convocare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este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la data de 10 MAI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acelasi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aceeasi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aceeasi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indreptatiti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sa participe si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S.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Depozitarul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Central S.A. Bucuresti 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26 APRILIE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considerata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referinta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2546EA" w:rsidRDefault="002546EA" w:rsidP="00EF33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546EA" w:rsidRDefault="002546EA" w:rsidP="00EF33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w:lastRenderedPageBreak/>
        <w:drawing>
          <wp:inline distT="0" distB="0" distL="0" distR="0" wp14:anchorId="17420C76" wp14:editId="5BE4B6A0">
            <wp:extent cx="5760720" cy="7753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ind w:left="288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ORDINE DE ZI </w:t>
      </w:r>
    </w:p>
    <w:tbl>
      <w:tblPr>
        <w:tblW w:w="6467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8"/>
        <w:gridCol w:w="756"/>
      </w:tblGrid>
      <w:tr w:rsidR="00EF3358" w:rsidRPr="00DA442E" w:rsidTr="00876F54">
        <w:trPr>
          <w:tblCellSpacing w:w="0" w:type="dxa"/>
          <w:jc w:val="center"/>
        </w:trPr>
        <w:tc>
          <w:tcPr>
            <w:tcW w:w="4678" w:type="pct"/>
            <w:shd w:val="clear" w:color="auto" w:fill="FFFFFF"/>
            <w:vAlign w:val="center"/>
            <w:hideMark/>
          </w:tcPr>
          <w:p w:rsidR="00EF3358" w:rsidRPr="00DA442E" w:rsidRDefault="00EF3358" w:rsidP="00876F54">
            <w:pPr>
              <w:numPr>
                <w:ilvl w:val="0"/>
                <w:numId w:val="1"/>
              </w:numPr>
              <w:spacing w:after="0" w:line="360" w:lineRule="auto"/>
              <w:ind w:left="0" w:right="-45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76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       </w:t>
            </w:r>
            <w:r w:rsidRPr="005276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        </w:t>
            </w:r>
            <w:proofErr w:type="gramStart"/>
            <w:r w:rsidRPr="005276B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1.</w:t>
            </w:r>
            <w:r w:rsidRPr="00342D32">
              <w:rPr>
                <w:rFonts w:ascii="Times New Roman" w:hAnsi="Times New Roman"/>
                <w:sz w:val="24"/>
                <w:szCs w:val="24"/>
                <w:lang w:val="fr-FR"/>
              </w:rPr>
              <w:t>Aprobarea</w:t>
            </w:r>
            <w:proofErr w:type="gramEnd"/>
            <w:r w:rsidRPr="00342D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2D32">
              <w:rPr>
                <w:rFonts w:ascii="Times New Roman" w:hAnsi="Times New Roman"/>
                <w:sz w:val="24"/>
                <w:szCs w:val="24"/>
                <w:lang w:val="fr-FR"/>
              </w:rPr>
              <w:t>Bugetului</w:t>
            </w:r>
            <w:proofErr w:type="spellEnd"/>
            <w:r w:rsidRPr="00342D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42D32">
              <w:rPr>
                <w:rFonts w:ascii="Times New Roman" w:hAnsi="Times New Roman"/>
                <w:sz w:val="24"/>
                <w:szCs w:val="24"/>
                <w:lang w:val="fr-FR"/>
              </w:rPr>
              <w:t>Venituri</w:t>
            </w:r>
            <w:proofErr w:type="spellEnd"/>
            <w:r w:rsidRPr="00342D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342D32">
              <w:rPr>
                <w:rFonts w:ascii="Times New Roman" w:hAnsi="Times New Roman"/>
                <w:sz w:val="24"/>
                <w:szCs w:val="24"/>
                <w:lang w:val="fr-FR"/>
              </w:rPr>
              <w:t>cheltuiel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societatii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2016</w:t>
            </w:r>
            <w:r w:rsidRPr="00342D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EF3358" w:rsidRPr="00DA442E" w:rsidRDefault="00EF3358" w:rsidP="00876F54">
            <w:pPr>
              <w:numPr>
                <w:ilvl w:val="0"/>
                <w:numId w:val="2"/>
              </w:numPr>
              <w:spacing w:after="0" w:line="360" w:lineRule="auto"/>
              <w:ind w:left="3860" w:hanging="42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F3358" w:rsidRDefault="00EF3358" w:rsidP="00EF33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5276B2">
        <w:rPr>
          <w:rFonts w:ascii="Times New Roman" w:hAnsi="Times New Roman"/>
          <w:b/>
          <w:sz w:val="24"/>
          <w:szCs w:val="24"/>
          <w:lang w:val="fr-FR"/>
        </w:rPr>
        <w:t xml:space="preserve">            2.</w:t>
      </w:r>
      <w:r w:rsidRPr="005276B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276B2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5276B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Planului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2016 .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3</w:t>
      </w:r>
      <w:r w:rsidRPr="00342D32">
        <w:rPr>
          <w:rFonts w:ascii="Times New Roman" w:hAnsi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Situatiilor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Financiare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exercitiului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financiar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 IANUARIE 2015 – 31 DECEMBRIE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2016 .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>4</w:t>
      </w:r>
      <w:r w:rsidRPr="00342D32">
        <w:rPr>
          <w:rFonts w:ascii="Times New Roman" w:hAnsi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profit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pierderi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aferent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exercitiului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financiar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 IANUARIE 2015 – 31 DECEMBRIE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2015 .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5</w:t>
      </w:r>
      <w:r w:rsidRPr="00342D32">
        <w:rPr>
          <w:rFonts w:ascii="Times New Roman" w:hAnsi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Raportului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Administratorilor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aferent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exercitiului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financiar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 IANUARIE 2015 – 31  DECEMBRIE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2015 .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>6</w:t>
      </w:r>
      <w:r w:rsidRPr="00F8376B">
        <w:rPr>
          <w:rFonts w:ascii="Times New Roman" w:hAnsi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Raportului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Audit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intocmit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exercitiului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financiar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 IANUARIE 2015 – 31 DECEMBRIE 2015.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E4164C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proofErr w:type="gramStart"/>
      <w:r w:rsidRPr="00E4164C">
        <w:rPr>
          <w:rFonts w:ascii="Times New Roman" w:hAnsi="Times New Roman"/>
          <w:b/>
          <w:sz w:val="24"/>
          <w:szCs w:val="24"/>
          <w:lang w:val="fr-FR"/>
        </w:rPr>
        <w:t>7.</w:t>
      </w:r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incheierii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fizica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juridica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asigure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auditarea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situatiilor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financiare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 IANUARIE 2016 – 31 DECEMBRIE 2016 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vor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pana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tarziu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data de  20 APRILIE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          S. ANTECO S.A.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Ploiesti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nr.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  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notarului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public,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avocatilor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oricaror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fizice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juridice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adoptate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intreprinda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demersurile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relatiile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Comertului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Monitorul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A.S.F. si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BVB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etc. 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9.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16 IUNIE 2016</w:t>
      </w:r>
      <w:r>
        <w:rPr>
          <w:rFonts w:ascii="Times New Roman" w:hAnsi="Times New Roman"/>
          <w:color w:val="D60093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ca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identificarea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rasfrang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efectele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art. 238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nr.297/2004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piata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capital si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15 IUNIE 2016  ca « ex date 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« .</w:t>
      </w:r>
      <w:proofErr w:type="gramEnd"/>
    </w:p>
    <w:p w:rsidR="002546EA" w:rsidRDefault="002546EA" w:rsidP="00EF33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w:lastRenderedPageBreak/>
        <w:drawing>
          <wp:inline distT="0" distB="0" distL="0" distR="0" wp14:anchorId="5184CA67" wp14:editId="6E55C0FC">
            <wp:extent cx="5760720" cy="77548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mai multi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impreuna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putin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5%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capitalul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social au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: </w:t>
      </w:r>
      <w:r>
        <w:rPr>
          <w:rFonts w:ascii="Times New Roman" w:hAnsi="Times New Roman"/>
          <w:b/>
          <w:sz w:val="24"/>
          <w:szCs w:val="24"/>
          <w:lang w:val="fr-FR"/>
        </w:rPr>
        <w:t>a)</w:t>
      </w:r>
      <w:r>
        <w:rPr>
          <w:rFonts w:ascii="Times New Roman" w:hAnsi="Times New Roman"/>
          <w:sz w:val="24"/>
          <w:szCs w:val="24"/>
          <w:lang w:val="fr-FR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introduce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Solicitarea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trebuie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transmisa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19 APRILIE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2016 ,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16,00;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introducerea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trebuie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S. ANTECO S.A.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Ploiesti,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r w:rsidRPr="00E41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 ;  </w:t>
      </w:r>
      <w:r>
        <w:rPr>
          <w:rFonts w:ascii="Times New Roman" w:hAnsi="Times New Roman"/>
          <w:b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incluse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fi incluse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tarziu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12 APRILIE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adreseze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12 APRILIE 2016  si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23 APRILIE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formula un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raspuns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acelasi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va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disponibil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pagina de internet 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in format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intrebare-raspuns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pot participa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pot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reprezentantii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li  s-a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acordat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pus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S.  ANTECO S.A. Ploiesti,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12 APRILIE 2016  si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website-ul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www.anteco.ro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www.scaunesimeselemn.ro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).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original,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vor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S.A.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Ploiesti,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 pana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5 MAI 2016  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16.00,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plic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inchis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mentiunea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majuscule: &lt;  PENTRU ADUNAREA GENERALA  ORDINARA   A  ACTIONARILOR  S. ANTECO S.A. PLOIESTI  DIN   9/10 MAI 2016  &gt;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La data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sala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sedinta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,reprezentantii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desemnati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exemplarul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identitate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S.  ANTECO S.A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referinta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r w:rsidR="002546EA">
        <w:rPr>
          <w:rFonts w:ascii="Times New Roman" w:hAnsi="Times New Roman"/>
          <w:noProof/>
          <w:sz w:val="24"/>
          <w:szCs w:val="24"/>
          <w:lang w:val="ro-RO" w:eastAsia="ro-RO"/>
        </w:rPr>
        <w:lastRenderedPageBreak/>
        <w:drawing>
          <wp:inline distT="0" distB="0" distL="0" distR="0" wp14:anchorId="183352E4" wp14:editId="03FFBD36">
            <wp:extent cx="5760720" cy="7754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eliberat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Depozitarul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Central S.A. au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posibilitatea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a vota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inainte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li se vor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transmite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gratuit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urma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cereri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inaintate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registratura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12 APRILIE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2016  .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va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</w:t>
      </w:r>
      <w:r w:rsidR="002546EA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S.A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 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plic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inchis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mentiunea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majuscule: &lt; PENTRU ADUNAREA GENERALA   ORDINARA</w:t>
      </w:r>
      <w:r>
        <w:rPr>
          <w:rFonts w:ascii="Times New Roman" w:hAnsi="Times New Roman"/>
          <w:color w:val="FF339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A ACTIONARILOR  S. ANTECO S.A. PLOIESTI DIN   9/10 MAI 2016   &gt; pana la data   5 MAI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16.00 ,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nu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primite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S.A 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mentionate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nu vor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calcul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determinarea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cvorumului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majoritatii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ANTECO S.A. Ploiesti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9/10 MAI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2016 .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</w:t>
      </w:r>
      <w:r w:rsidRPr="00105F60">
        <w:rPr>
          <w:rFonts w:ascii="Times New Roman" w:hAnsi="Times New Roman"/>
          <w:sz w:val="24"/>
          <w:szCs w:val="24"/>
          <w:u w:val="single"/>
          <w:lang w:val="fr-FR"/>
        </w:rPr>
        <w:t>9 APRILIE 2016</w:t>
      </w: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materialele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informative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legislatiei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pot fi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consultate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obtinute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de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lucratoare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10 - 12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website-ul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www.anteco.ro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www.scaunesimeselemn.ro .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Informatii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suplimentare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pot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S.A.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0244/543088,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10:00 -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16:00 .</w:t>
      </w:r>
      <w:proofErr w:type="gramEnd"/>
    </w:p>
    <w:p w:rsidR="00EF3358" w:rsidRDefault="00EF3358" w:rsidP="00EF33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PRESEDINTELE  CONSILIULUI  DE  ADMINISTRATIE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tbl>
      <w:tblPr>
        <w:tblW w:w="126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5"/>
        <w:gridCol w:w="53"/>
      </w:tblGrid>
      <w:tr w:rsidR="00EF3358" w:rsidTr="00876F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EF3358" w:rsidRDefault="00EF3358" w:rsidP="00876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    ILISIE MIRCEA</w:t>
            </w:r>
          </w:p>
          <w:p w:rsidR="00EF3358" w:rsidRDefault="00EF3358" w:rsidP="00876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358" w:rsidRDefault="00EF3358" w:rsidP="00876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358" w:rsidRDefault="00EF3358" w:rsidP="00876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358" w:rsidRDefault="00EF3358" w:rsidP="00876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358" w:rsidRDefault="00EF3358" w:rsidP="00876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58741117" wp14:editId="77C08B53">
                  <wp:extent cx="59436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358" w:rsidRDefault="00EF3358" w:rsidP="00876F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CATRE , </w:t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REGIA   AUTONOMA  MONITORUL  </w:t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OFICIAL  S.A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S.  ANTECO S.A. Ploiesti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Lamiitei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nr.2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Judetul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Prahova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inregistrata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</w:t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Oficiul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Registrului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Comertului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sub nr. J29/96/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01.03.1991 ,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C.U.I.  1351808  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faptul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documentul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solicitat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Monitorul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Oficial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CONVOCATOR  A.G.O.A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9/10 MAI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8.091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conform  </w:t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contorului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358" w:rsidRDefault="00EF3358" w:rsidP="00876F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358" w:rsidRDefault="00EF3358" w:rsidP="00876F54"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S.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ANTECO  S.A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 PLOIESTI</w:t>
            </w:r>
          </w:p>
        </w:tc>
        <w:tc>
          <w:tcPr>
            <w:tcW w:w="0" w:type="auto"/>
            <w:vAlign w:val="center"/>
          </w:tcPr>
          <w:p w:rsidR="00EF3358" w:rsidRDefault="00EF3358" w:rsidP="00876F5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3358" w:rsidRDefault="00EF3358" w:rsidP="00EF3358"/>
    <w:p w:rsidR="00EF3358" w:rsidRDefault="00EF3358" w:rsidP="00EF3358"/>
    <w:p w:rsidR="00EF3358" w:rsidRDefault="00EF3358" w:rsidP="00EF3358"/>
    <w:p w:rsidR="00EF3358" w:rsidRDefault="00EF3358" w:rsidP="00EF3358"/>
    <w:p w:rsidR="00CD3878" w:rsidRDefault="00C806EB"/>
    <w:sectPr w:rsidR="00CD38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EB" w:rsidRDefault="00C806EB">
      <w:pPr>
        <w:spacing w:after="0" w:line="240" w:lineRule="auto"/>
      </w:pPr>
      <w:r>
        <w:separator/>
      </w:r>
    </w:p>
  </w:endnote>
  <w:endnote w:type="continuationSeparator" w:id="0">
    <w:p w:rsidR="00C806EB" w:rsidRDefault="00C8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206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449" w:rsidRDefault="002546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C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449" w:rsidRDefault="00C80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EB" w:rsidRDefault="00C806EB">
      <w:pPr>
        <w:spacing w:after="0" w:line="240" w:lineRule="auto"/>
      </w:pPr>
      <w:r>
        <w:separator/>
      </w:r>
    </w:p>
  </w:footnote>
  <w:footnote w:type="continuationSeparator" w:id="0">
    <w:p w:rsidR="00C806EB" w:rsidRDefault="00C8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E44"/>
    <w:multiLevelType w:val="multilevel"/>
    <w:tmpl w:val="ECD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D2493"/>
    <w:multiLevelType w:val="multilevel"/>
    <w:tmpl w:val="AC0A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79"/>
    <w:rsid w:val="002546EA"/>
    <w:rsid w:val="00355733"/>
    <w:rsid w:val="004A5779"/>
    <w:rsid w:val="004B65F7"/>
    <w:rsid w:val="006A2C86"/>
    <w:rsid w:val="00C806EB"/>
    <w:rsid w:val="00EC65F2"/>
    <w:rsid w:val="00E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F33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5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5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F33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5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teco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aunesimeselemn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eco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Mircea ILISIE</cp:lastModifiedBy>
  <cp:revision>2</cp:revision>
  <dcterms:created xsi:type="dcterms:W3CDTF">2016-04-12T06:27:00Z</dcterms:created>
  <dcterms:modified xsi:type="dcterms:W3CDTF">2016-04-12T06:27:00Z</dcterms:modified>
</cp:coreProperties>
</file>